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0" w:right="0" w:firstLine="533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</w:rPr>
        <w:t xml:space="preserve">ПРОГРАММНЫЕ ТРЕБОВАНИЯ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  <w:u w:val="single"/>
        </w:rPr>
        <w:t xml:space="preserve">СОЛЬНОЕ ИСПОЛНИТЕЛЬСТВО - ГУСЛИ ЗВОНЧАТЫЕ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0"/>
        </w:rPr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 (до 10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pStyle w:val="834"/>
        <w:numPr>
          <w:ilvl w:val="0"/>
          <w:numId w:val="16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16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  <w:u w:val="single"/>
        </w:rPr>
        <w:t xml:space="preserve">Для исполнителей на звончатых гуслях (на выбор):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В. Маляров. Дымковская игрушка;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Ю. Шишаков. Наигрыш (для гуслей соло);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В. Кулёв. Вариации на тему песни Настеньки Н. Будашкина  из  м/ф «Аленький цветочек»</w:t>
      </w:r>
      <w:r/>
    </w:p>
    <w:p>
      <w:pPr>
        <w:ind w:left="349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none"/>
        </w:rPr>
        <w:t xml:space="preserve">3. </w:t>
      </w:r>
      <w:r>
        <w:rPr>
          <w:rFonts w:ascii="Times New Roman" w:hAnsi="Times New Roman" w:eastAsia="Times New Roman" w:cs="Times New Roman"/>
          <w:color w:val="000000"/>
          <w:sz w:val="21"/>
          <w:highlight w:val="none"/>
        </w:rPr>
        <w:tab/>
      </w: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по выбору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выбор:</w:t>
      </w:r>
      <w:r/>
    </w:p>
    <w:p>
      <w:pPr>
        <w:pStyle w:val="833"/>
        <w:rPr>
          <w:rFonts w:ascii="Times New Roman" w:hAnsi="Times New Roman" w:eastAsia="Times New Roman" w:cs="Times New Roman"/>
          <w:color w:val="000000"/>
          <w:sz w:val="21"/>
          <w:szCs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В. Маляров Сказ о Земле русской</w:t>
      </w:r>
      <w:r>
        <w:rPr>
          <w:rFonts w:ascii="Times New Roman" w:hAnsi="Times New Roman" w:eastAsia="Times New Roman" w:cs="Times New Roman"/>
          <w:sz w:val="21"/>
        </w:rPr>
      </w:r>
    </w:p>
    <w:p>
      <w:pPr>
        <w:pStyle w:val="833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– В. Маляров Обработка РНП «Как у наших, у ворот»</w:t>
      </w:r>
      <w:r>
        <w:rPr>
          <w:rFonts w:ascii="Times New Roman" w:hAnsi="Times New Roman" w:eastAsia="Times New Roman" w:cs="Times New Roman"/>
          <w:sz w:val="21"/>
        </w:rPr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К. Шаханов Баллада – II часть Концерта №1 для гуслей и оркестра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20 мин.)</w:t>
      </w:r>
      <w:r/>
    </w:p>
    <w:p>
      <w:pPr>
        <w:pStyle w:val="834"/>
        <w:numPr>
          <w:ilvl w:val="0"/>
          <w:numId w:val="18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18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  <w:u w:val="single"/>
        </w:rPr>
        <w:t xml:space="preserve">Для исполнителей на звончатых гуслях (на выбор):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С. Плеханов Прелюдия и Аллегро в старинном стиле; 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В. Маляров «Зимним вечером»;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В. Кулёв «У лесного озера» (для гуслей соло);</w:t>
      </w:r>
      <w:r/>
    </w:p>
    <w:p>
      <w:pPr>
        <w:pStyle w:val="833"/>
        <w:rPr>
          <w:rFonts w:ascii="Times New Roman" w:hAnsi="Times New Roman" w:eastAsia="Times New Roman" w:cs="Times New Roman"/>
          <w:color w:val="000000"/>
          <w:sz w:val="21"/>
          <w:szCs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В. Андреев-В.Городовская «Пляска скоморохов»</w:t>
      </w:r>
      <w:r>
        <w:rPr>
          <w:rFonts w:ascii="Times New Roman" w:hAnsi="Times New Roman" w:eastAsia="Times New Roman" w:cs="Times New Roman"/>
          <w:sz w:val="21"/>
        </w:rPr>
      </w:r>
    </w:p>
    <w:p>
      <w:pPr>
        <w:pStyle w:val="833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  3. </w:t>
        <w:tab/>
      </w: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по выбору</w:t>
      </w: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Е. Дербенко В Ростове Великом – II часть Концерта для гуслей и </w:t>
      </w:r>
      <w:r/>
      <w:r>
        <w:rPr>
          <w:rFonts w:ascii="Times New Roman" w:hAnsi="Times New Roman" w:eastAsia="Times New Roman" w:cs="Times New Roman"/>
          <w:color w:val="000000"/>
          <w:sz w:val="21"/>
        </w:rPr>
        <w:t xml:space="preserve">оркестра</w:t>
      </w:r>
      <w:r/>
      <w:r>
        <w:rPr>
          <w:rFonts w:ascii="Times New Roman" w:hAnsi="Times New Roman" w:eastAsia="Times New Roman" w:cs="Times New Roman"/>
          <w:sz w:val="21"/>
        </w:rPr>
      </w:r>
    </w:p>
    <w:p>
      <w:pPr>
        <w:ind w:left="0" w:right="0" w:firstLine="0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pStyle w:val="833"/>
        <w:jc w:val="center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Четвёртая возрастная группа (первая ССУЗ), пятая возрастная группа </w:t>
      </w:r>
      <w:r/>
    </w:p>
    <w:p>
      <w:pPr>
        <w:pStyle w:val="833"/>
        <w:jc w:val="center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(вторая ССУЗ) и номинация «Концертные исполнители»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 (до 30 мин.)</w:t>
      </w:r>
      <w:r/>
    </w:p>
    <w:p>
      <w:pPr>
        <w:pStyle w:val="834"/>
        <w:numPr>
          <w:ilvl w:val="0"/>
          <w:numId w:val="20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включительно.</w:t>
      </w:r>
      <w:r/>
    </w:p>
    <w:p>
      <w:pPr>
        <w:pStyle w:val="834"/>
        <w:numPr>
          <w:ilvl w:val="0"/>
          <w:numId w:val="20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Обязательное произведение (на выбор):</w:t>
      </w:r>
      <w:r/>
    </w:p>
    <w:p>
      <w:pPr>
        <w:pStyle w:val="833"/>
        <w:ind w:firstLine="708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Четвёртая возрастная группа (первая ССУЗ) – С. Плеханов. Веснянка, Хироми Яно. Фантазия </w:t>
        <w:tab/>
        <w:t xml:space="preserve">на тему старинной японской песни «Кагомэ-кагомэ», В. Маляров. На вечорке, В. Бояшов. </w:t>
        <w:tab/>
        <w:t xml:space="preserve">Скерцино;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Пятая возрастная группа (вторая ССУЗ) – С. Плеханов. Фантазия на тему русской народной </w:t>
        <w:tab/>
        <w:t xml:space="preserve">песни «На улице дождик», А. Ветлугина. Терема,  Е. Панченко. Ludus cordis, В. Панин. Русская </w:t>
        <w:tab/>
        <w:t xml:space="preserve">рапсодия.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группа «Концертные исполнители» – Р. Галиев. Музыкальная этюд-картина для гуслей </w:t>
        <w:tab/>
        <w:t xml:space="preserve">solo,  С. Плеханов. Легенда, В. Кулёв. Ярмарочные узоры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none"/>
        </w:rPr>
        <w:t xml:space="preserve">   3.   </w:t>
      </w:r>
      <w:r>
        <w:rPr>
          <w:rFonts w:ascii="Times New Roman" w:hAnsi="Times New Roman" w:eastAsia="Times New Roman" w:cs="Times New Roman"/>
          <w:color w:val="000000"/>
          <w:sz w:val="21"/>
          <w:highlight w:val="none"/>
        </w:rPr>
        <w:t xml:space="preserve">    </w:t>
      </w: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по выбору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Исполнение Концерта для гуслей с оркестром 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На выбор предлагаются:</w:t>
      </w:r>
      <w:r/>
    </w:p>
    <w:p>
      <w:pPr>
        <w:pStyle w:val="833"/>
        <w:numPr>
          <w:ilvl w:val="0"/>
          <w:numId w:val="33"/>
        </w:numPr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Е. Дербенко. Ярославский концерт для гуслей с оркестром в 3-х частях.</w:t>
      </w:r>
      <w:r/>
    </w:p>
    <w:p>
      <w:pPr>
        <w:pStyle w:val="833"/>
        <w:ind w:firstLine="708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i/>
          <w:color w:val="000000"/>
          <w:sz w:val="21"/>
        </w:rPr>
        <w:t xml:space="preserve">Участники четвёртой возрастной группы  (первая ССУЗ) – 3-ую часть Концерта, пятой </w:t>
        <w:tab/>
        <w:t xml:space="preserve">возрастной группы (вторая ССУЗ) – 2-ую и 3-ю части, группы «Концертные исполнители» </w:t>
        <w:tab/>
        <w:t xml:space="preserve">исполняют Концерт целиком</w:t>
      </w:r>
      <w:r/>
    </w:p>
    <w:p>
      <w:pPr>
        <w:pStyle w:val="833"/>
        <w:numPr>
          <w:ilvl w:val="0"/>
          <w:numId w:val="34"/>
        </w:numPr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Б. Кравченко. Концерт №2 для гуслей с оркестром в 3-х частях.</w:t>
      </w:r>
      <w:r/>
    </w:p>
    <w:p>
      <w:pPr>
        <w:pStyle w:val="833"/>
        <w:ind w:firstLine="708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i/>
          <w:color w:val="000000"/>
          <w:sz w:val="21"/>
        </w:rPr>
        <w:t xml:space="preserve">Участники четвёртой возрастной группы  (первая ССУЗ) – 1-ую часть Концерта, пятой </w:t>
        <w:tab/>
        <w:t xml:space="preserve">возрастной группы (вторая ССУЗ) – 3-ю часть, участники группы «Концертные исполнители» </w:t>
        <w:tab/>
        <w:t xml:space="preserve">исполняют Концерт целиком</w:t>
      </w:r>
      <w:r/>
    </w:p>
    <w:p>
      <w:pPr>
        <w:pStyle w:val="833"/>
        <w:numPr>
          <w:ilvl w:val="0"/>
          <w:numId w:val="35"/>
        </w:numPr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С. Яшина. Двухчастный Концерт для гуслей и оркестра русских народных инструментов в сопровождении струнного оркестра колледжа. </w:t>
      </w:r>
      <w:r>
        <w:rPr>
          <w:rFonts w:ascii="Times New Roman" w:hAnsi="Times New Roman" w:eastAsia="Times New Roman" w:cs="Times New Roman"/>
          <w:i/>
          <w:color w:val="000000"/>
          <w:sz w:val="21"/>
          <w:highlight w:val="white"/>
        </w:rPr>
        <w:t xml:space="preserve">Участники четвёртой и пятой возрастной групп (ССУЗ) – 1-ая или 2-ая часть, участники группы «Концертные исполнители» исполняют Концерт целиком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  <w:u w:val="single"/>
        </w:rPr>
        <w:t xml:space="preserve">СОЛЬНОЕ ИСПОЛНИТЕЛЬСТВО - ЦИМБАЛЫ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10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>
        <w:rPr>
          <w:rFonts w:ascii="Times New Roman" w:hAnsi="Times New Roman" w:eastAsia="Times New Roman" w:cs="Times New Roman"/>
          <w:sz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pStyle w:val="834"/>
        <w:numPr>
          <w:ilvl w:val="0"/>
          <w:numId w:val="25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25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сочинение для белорусских цимбал, исключая обработки и фантазии на народные темы</w:t>
      </w:r>
      <w:r/>
    </w:p>
    <w:p>
      <w:pPr>
        <w:pStyle w:val="834"/>
        <w:numPr>
          <w:ilvl w:val="0"/>
          <w:numId w:val="25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Обработка народной мелодии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предлагается: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сделать переложение для своего инструмента обязательной пьесы для гуслей К. Шаханов Баллада 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– либо исполнить два разнохарактерных произведения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20 мин.)</w:t>
      </w:r>
      <w:r/>
    </w:p>
    <w:p>
      <w:pPr>
        <w:pStyle w:val="834"/>
        <w:numPr>
          <w:ilvl w:val="0"/>
          <w:numId w:val="26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26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сочинение для белорусских цимбал, исключая обработки и фантазии на народные темы</w:t>
      </w:r>
      <w:r/>
    </w:p>
    <w:p>
      <w:pPr>
        <w:pStyle w:val="834"/>
        <w:numPr>
          <w:ilvl w:val="0"/>
          <w:numId w:val="26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Произведение, написанное на материале народных тем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предлагается: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Сделать переложение для своего инструмента обязательной пьесы для гуслей Е. Дербенко В Ростове Великом 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либо исполнить два разнохарактерных произведения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Четвёртая возрастная группа (первая ССУЗ), пятая возрастная группа (вторая ССУЗ) и группа «Концертные исполнители»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30 мин.)</w:t>
      </w:r>
      <w:r/>
    </w:p>
    <w:p>
      <w:pPr>
        <w:pStyle w:val="834"/>
        <w:numPr>
          <w:ilvl w:val="0"/>
          <w:numId w:val="27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крупной формы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27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сочинение для белорусских цимбал</w:t>
      </w:r>
      <w:r/>
    </w:p>
    <w:p>
      <w:pPr>
        <w:pStyle w:val="834"/>
        <w:numPr>
          <w:ilvl w:val="0"/>
          <w:numId w:val="27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виртуозного характера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Обязательное исполнение Концерта для цимбал в сопровождении Симфонического оркестра колледжа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На выбор предлагаются:</w:t>
      </w:r>
      <w:r/>
    </w:p>
    <w:p>
      <w:pPr>
        <w:ind w:left="0" w:right="0" w:firstLine="0"/>
        <w:shd w:val="clear" w:color="ffffff" w:fill="ffffff"/>
        <w:rPr>
          <w:rFonts w:ascii="Times New Roman" w:hAnsi="Times New Roman" w:eastAsia="Times New Roman" w:cs="Times New Roman"/>
          <w:color w:val="000000"/>
          <w:sz w:val="21"/>
          <w:szCs w:val="21"/>
          <w:u w:val="singl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Четвёртая возрастная группа (первая ССУЗ) и пятая возрастная группа (вторая ССУЗ):</w:t>
      </w:r>
      <w:r>
        <w:rPr>
          <w:rFonts w:ascii="Times New Roman" w:hAnsi="Times New Roman" w:eastAsia="Times New Roman" w:cs="Times New Roman"/>
          <w:sz w:val="21"/>
        </w:rPr>
      </w:r>
    </w:p>
    <w:p>
      <w:pPr>
        <w:ind w:left="0" w:right="0" w:firstLine="0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u w:val="single"/>
        </w:rPr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— Д. Смольский Концерт №2 для цимбал с оркестром — I или II части. </w:t>
      </w:r>
      <w:r/>
      <w:r/>
    </w:p>
    <w:p>
      <w:pPr>
        <w:ind w:left="0" w:right="0" w:firstLine="0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Г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руппа «Концертные исполнители» (на выбор):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— Д. Смольский Концерт №2 для цимбал с оркестром в двух частях (целиком);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— В. Курьян Концерт для цимбал и камерного оркестра в трех частях.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СОЛЬНОЕ ИСПОЛНИТЕЛЬСТВО – КОКЛЕ, КАНКЛЕС, КАННЕЛЬ, КАНТЕЛЕ И ДРУГИЕ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/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 (до 10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 (до 15 мин.)</w:t>
      </w:r>
      <w:r/>
    </w:p>
    <w:p>
      <w:pPr>
        <w:pStyle w:val="834"/>
        <w:numPr>
          <w:ilvl w:val="0"/>
          <w:numId w:val="28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28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произведение, исключая обработки и фантазии на народные темы</w:t>
      </w:r>
      <w:r/>
    </w:p>
    <w:p>
      <w:pPr>
        <w:pStyle w:val="834"/>
        <w:numPr>
          <w:ilvl w:val="0"/>
          <w:numId w:val="28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на выбор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предлагается: 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сделать переложение для своего инструмента обязательной пьесы для гуслей К. Шаханов. БАЛЛАДА 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либо исполнить два разнохарактерных произведения.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1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18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20 мин.)</w:t>
      </w:r>
      <w:r/>
    </w:p>
    <w:p>
      <w:pPr>
        <w:pStyle w:val="834"/>
        <w:numPr>
          <w:ilvl w:val="0"/>
          <w:numId w:val="29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29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произведение, исключая обработки и фантазии на народные темы</w:t>
      </w:r>
      <w:r/>
    </w:p>
    <w:p>
      <w:pPr>
        <w:pStyle w:val="834"/>
        <w:numPr>
          <w:ilvl w:val="0"/>
          <w:numId w:val="29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на выбор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предлагается: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Сделать переложение для своего инструмента обязательной пьесы для гуслей Е. Дербенко В Ростове Великом 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либо исполнить два разнохарактерных произведения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Четвёртая возрастная группа (первая ССУЗ), пятая возрастная группа (вторая ССУЗ) и группа «Концертные исполнители»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/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30 мин.)</w:t>
      </w:r>
      <w:r/>
      <w:r>
        <w:rPr>
          <w:rFonts w:ascii="Times New Roman" w:hAnsi="Times New Roman" w:eastAsia="Times New Roman" w:cs="Times New Roman"/>
          <w:sz w:val="21"/>
        </w:rPr>
      </w:r>
    </w:p>
    <w:p>
      <w:pPr>
        <w:pStyle w:val="834"/>
        <w:numPr>
          <w:ilvl w:val="0"/>
          <w:numId w:val="30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русского или зарубежного композитора до XIX века включительно</w:t>
      </w:r>
      <w:r/>
    </w:p>
    <w:p>
      <w:pPr>
        <w:pStyle w:val="834"/>
        <w:numPr>
          <w:ilvl w:val="0"/>
          <w:numId w:val="30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Оригинальное произведение, исключая обработки и фантазии на народные темы</w:t>
      </w:r>
      <w:r/>
    </w:p>
    <w:p>
      <w:pPr>
        <w:pStyle w:val="834"/>
        <w:numPr>
          <w:ilvl w:val="0"/>
          <w:numId w:val="30"/>
        </w:numPr>
        <w:ind w:right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highlight w:val="white"/>
        </w:rPr>
        <w:t xml:space="preserve">Произведение на выбор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Четвёртая возрастная группа (первая ССУЗ) и пятая возрастная группа (вторая ССУЗ):</w:t>
        <w:br/>
        <w:t xml:space="preserve"> 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– Г.Ф. Гендель Концерт для арфы с оркестром, I часть.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Группа «Концертные исполнители»: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Г.Ф. Гендель Концерт для арфы с оркестром в трех частях (целиком)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Также имеется возможность для 4-5 групп и группы «Концертный исполнитель» заменить исполнение с оркестром на Оригинальное произведение крупной формы: концерт, соната, сюита не менее трех частей.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СОЛЬНОЕ ИСПОЛНИТЕЛЬСТВО – КЛАССИЧЕСКАЯ АРФА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0"/>
        <w:jc w:val="center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 (до 10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10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Два разнохарактерных произведения по выбору участника.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1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18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15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Три разнохарактерными произведения композиторов разных эпох по выбору участника.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 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(до 15 мин.)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ab/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Три разнохарактерными произведения композиторов разных эпох по выбору участника.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  <w:u w:val="single"/>
        </w:rPr>
        <w:t xml:space="preserve">III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20 мин.)</w:t>
      </w:r>
      <w:r/>
    </w:p>
    <w:p>
      <w:pPr>
        <w:ind w:left="0" w:right="0" w:firstLine="0"/>
        <w:jc w:val="both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ab/>
        <w:t xml:space="preserve">Три разнохарактерными произведения композиторов разных эпох по выбору участника.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предлагает: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Виртуозная пьеса и 1-ая часть концерта;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Виртуозная пьеса и 2-ая и 3-ья части концерта;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Концерт целиком.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>
        <w:rPr>
          <w:rFonts w:ascii="Times New Roman" w:hAnsi="Times New Roman" w:eastAsia="Times New Roman" w:cs="Times New Roman"/>
          <w:sz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  <w:szCs w:val="21"/>
        </w:rPr>
      </w:r>
      <w:r>
        <w:rPr>
          <w:rFonts w:ascii="Times New Roman" w:hAnsi="Times New Roman" w:eastAsia="Times New Roman" w:cs="Times New Roman"/>
          <w:sz w:val="21"/>
          <w:szCs w:val="21"/>
        </w:rPr>
      </w:r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  <w:szCs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1"/>
        </w:rPr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Четвёртая возрастная группа (первая ССУЗ) и пятая возрастная группа 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(вторая ССУЗ)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30 мин.)</w:t>
      </w:r>
      <w:r/>
    </w:p>
    <w:p>
      <w:pPr>
        <w:ind w:left="165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 </w:t>
        <w:tab/>
        <w:t xml:space="preserve">Концертная программа, в которую обязательно входит виртуозное произведение (не менее трех пьес)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  <w:t xml:space="preserve"> На выбор предлагает: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Виртуозная пьеса и 1-ая часть концерта;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Виртуозная пьеса и 2-ая и 3-ья части концерта;</w:t>
      </w:r>
      <w:r/>
    </w:p>
    <w:p>
      <w:pPr>
        <w:pStyle w:val="833"/>
        <w:rPr>
          <w:rFonts w:ascii="Times New Roman" w:hAnsi="Times New Roman" w:eastAsia="Times New Roman" w:cs="Times New Roman"/>
          <w:sz w:val="21"/>
        </w:rP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– Концерт целиком.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18"/>
          <w:u w:val="single"/>
        </w:rPr>
        <w:t xml:space="preserve">Г</w:t>
      </w: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руппа «Концертные исполнители»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 тур</w:t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(до 30 мин.)</w:t>
      </w:r>
      <w:r/>
    </w:p>
    <w:p>
      <w:pPr>
        <w:ind w:left="165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 </w:t>
        <w:tab/>
        <w:t xml:space="preserve">Концертная программа, в которую обязательно входит произведение эпохи </w:t>
        <w:tab/>
        <w:t xml:space="preserve">Барокко (не менее трех пьес)</w:t>
      </w:r>
      <w:r/>
    </w:p>
    <w:p>
      <w:pPr>
        <w:ind w:left="0" w:right="0" w:firstLine="0"/>
        <w:jc w:val="center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</w:rPr>
        <w:t xml:space="preserve">II тур</w:t>
        <w:br/>
      </w:r>
      <w:r>
        <w:rPr>
          <w:rFonts w:ascii="Times New Roman" w:hAnsi="Times New Roman" w:eastAsia="Times New Roman" w:cs="Times New Roman"/>
          <w:color w:val="000000"/>
          <w:sz w:val="21"/>
        </w:rPr>
        <w:t xml:space="preserve"> Р. Глиэр Концерт для арфы с оркестром, I часть и виртуозное произведение.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br/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1"/>
          <w:u w:val="single"/>
        </w:rPr>
        <w:t xml:space="preserve">АНСАМБЛЕВОЕ ИСПОЛНИТЕЛЬСТВО</w:t>
      </w:r>
      <w:r/>
    </w:p>
    <w:p>
      <w:pPr>
        <w:ind w:left="0" w:right="0" w:firstLine="0"/>
        <w:jc w:val="both"/>
        <w:shd w:val="clear" w:color="ffffff" w:fill="ffffff"/>
        <w:rPr>
          <w:rFonts w:ascii="Times New Roman" w:hAnsi="Times New Roman" w:eastAsia="Times New Roman" w:cs="Times New Roman"/>
          <w:sz w:val="21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1"/>
        </w:rPr>
        <w:t xml:space="preserve">Программа по выбору участников, наиболее полно представляющее творческое кредо коллектива продолжительностью не более 20 минут.</w:t>
      </w:r>
      <w:r/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409020205020404"/>
  </w:font>
  <w:font w:name="Symbol">
    <w:panose1 w:val="05010000000000000000"/>
  </w:font>
  <w:font w:name="Times New Roman">
    <w:panose1 w:val="02020603050405020304"/>
  </w:font>
  <w:font w:name="Arial">
    <w:panose1 w:val="020B0604020202020204"/>
  </w:font>
  <w:font w:name="Wingdings">
    <w:panose1 w:val="05010000000000000000"/>
  </w:font>
  <w:font w:name="Liberation Sans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6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1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22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23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09" w:hanging="360"/>
      </w:pPr>
      <w:rPr>
        <w:rFonts w:hint="default" w:ascii="Symbol" w:hAnsi="Symbol" w:eastAsia="Symbol" w:cs="Symbol"/>
        <w:color w:val="303030"/>
        <w:sz w:val="21"/>
      </w:rPr>
    </w:lvl>
    <w:lvl w:ilvl="1">
      <w:start w:val="1"/>
      <w:numFmt w:val="bullet"/>
      <w:isLgl w:val="false"/>
      <w:suff w:val="tab"/>
      <w:lvlText w:val="·"/>
      <w:lvlJc w:val="left"/>
      <w:pPr>
        <w:ind w:left="1429" w:hanging="360"/>
      </w:pPr>
      <w:rPr>
        <w:rFonts w:hint="default" w:ascii="Symbol" w:hAnsi="Symbol" w:eastAsia="Symbol" w:cs="Symbol"/>
        <w:color w:val="303030"/>
        <w:sz w:val="21"/>
      </w:rPr>
    </w:lvl>
    <w:lvl w:ilvl="2">
      <w:start w:val="1"/>
      <w:numFmt w:val="bullet"/>
      <w:isLgl w:val="false"/>
      <w:suff w:val="tab"/>
      <w:lvlText w:val="·"/>
      <w:lvlJc w:val="left"/>
      <w:pPr>
        <w:ind w:left="2149" w:hanging="360"/>
      </w:pPr>
      <w:rPr>
        <w:rFonts w:hint="default" w:ascii="Symbol" w:hAnsi="Symbol" w:eastAsia="Symbol" w:cs="Symbol"/>
        <w:color w:val="303030"/>
        <w:sz w:val="21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  <w:color w:val="303030"/>
        <w:sz w:val="21"/>
      </w:rPr>
    </w:lvl>
    <w:lvl w:ilvl="4">
      <w:start w:val="1"/>
      <w:numFmt w:val="bullet"/>
      <w:isLgl w:val="false"/>
      <w:suff w:val="tab"/>
      <w:lvlText w:val="·"/>
      <w:lvlJc w:val="left"/>
      <w:pPr>
        <w:ind w:left="3589" w:hanging="360"/>
      </w:pPr>
      <w:rPr>
        <w:rFonts w:hint="default" w:ascii="Symbol" w:hAnsi="Symbol" w:eastAsia="Symbol" w:cs="Symbol"/>
        <w:color w:val="303030"/>
        <w:sz w:val="21"/>
      </w:rPr>
    </w:lvl>
    <w:lvl w:ilvl="5">
      <w:start w:val="1"/>
      <w:numFmt w:val="bullet"/>
      <w:isLgl w:val="false"/>
      <w:suff w:val="tab"/>
      <w:lvlText w:val="·"/>
      <w:lvlJc w:val="left"/>
      <w:pPr>
        <w:ind w:left="4309" w:hanging="360"/>
      </w:pPr>
      <w:rPr>
        <w:rFonts w:hint="default" w:ascii="Symbol" w:hAnsi="Symbol" w:eastAsia="Symbol" w:cs="Symbol"/>
        <w:color w:val="303030"/>
        <w:sz w:val="21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  <w:color w:val="303030"/>
        <w:sz w:val="21"/>
      </w:rPr>
    </w:lvl>
    <w:lvl w:ilvl="7">
      <w:start w:val="1"/>
      <w:numFmt w:val="bullet"/>
      <w:isLgl w:val="false"/>
      <w:suff w:val="tab"/>
      <w:lvlText w:val="·"/>
      <w:lvlJc w:val="left"/>
      <w:pPr>
        <w:ind w:left="5749" w:hanging="360"/>
      </w:pPr>
      <w:rPr>
        <w:rFonts w:hint="default" w:ascii="Symbol" w:hAnsi="Symbol" w:eastAsia="Symbol" w:cs="Symbol"/>
        <w:color w:val="303030"/>
        <w:sz w:val="21"/>
      </w:rPr>
    </w:lvl>
    <w:lvl w:ilvl="8">
      <w:start w:val="1"/>
      <w:numFmt w:val="bullet"/>
      <w:isLgl w:val="false"/>
      <w:suff w:val="tab"/>
      <w:lvlText w:val="·"/>
      <w:lvlJc w:val="left"/>
      <w:pPr>
        <w:ind w:left="6469" w:hanging="360"/>
      </w:pPr>
      <w:rPr>
        <w:rFonts w:hint="default" w:ascii="Symbol" w:hAnsi="Symbol" w:eastAsia="Symbol" w:cs="Symbol"/>
        <w:color w:val="303030"/>
        <w:sz w:val="21"/>
      </w:r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1"/>
        <w:highlight w:val="white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303030"/>
        <w:sz w:val="21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30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1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720" w:hanging="360"/>
      </w:pPr>
      <w:rPr>
        <w:rFonts w:hint="default" w:ascii="Symbol" w:hAnsi="Symbol" w:eastAsia="Symbol" w:cs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33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abstractNum w:abstractNumId="34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709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429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49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69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589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09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29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49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69" w:hanging="360"/>
      </w:pPr>
      <w:rPr>
        <w:rFonts w:hint="default" w:ascii="Wingdings" w:hAnsi="Wingdings" w:eastAsia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Liberation Sans" w:hAnsi="Liberation Sans" w:eastAsia="Liberation Sans" w:cs="Liberation Sans"/>
      <w:sz w:val="40"/>
      <w:szCs w:val="40"/>
    </w:rPr>
  </w:style>
  <w:style w:type="character" w:styleId="655">
    <w:name w:val="Heading 1 Char"/>
    <w:link w:val="654"/>
    <w:uiPriority w:val="9"/>
    <w:rPr>
      <w:rFonts w:ascii="Liberation Sans" w:hAnsi="Liberation Sans" w:eastAsia="Liberation Sans" w:cs="Liberation Sans"/>
    </w:rPr>
  </w:style>
  <w:style w:type="paragraph" w:styleId="656">
    <w:name w:val="Heading 2"/>
    <w:basedOn w:val="654"/>
    <w:next w:val="830"/>
    <w:link w:val="657"/>
    <w:uiPriority w:val="9"/>
    <w:unhideWhenUsed/>
    <w:qFormat/>
    <w:rPr>
      <w:rFonts w:ascii="Liberation Sans" w:hAnsi="Liberation Sans" w:eastAsia="Liberation Sans" w:cs="Liberation Sans"/>
    </w:rPr>
  </w:style>
  <w:style w:type="character" w:styleId="657">
    <w:name w:val="Heading 2 Char"/>
    <w:link w:val="656"/>
    <w:uiPriority w:val="9"/>
    <w:rPr>
      <w:rFonts w:ascii="Liberation Sans" w:hAnsi="Liberation Sans" w:eastAsia="Liberation Sans" w:cs="Liberation Sans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Liberation Sans" w:hAnsi="Liberation Sans" w:eastAsia="Arial" w:cs="Liberation Sans"/>
      <w:sz w:val="30"/>
      <w:szCs w:val="30"/>
    </w:rPr>
  </w:style>
  <w:style w:type="character" w:styleId="659">
    <w:name w:val="Heading 3 Char"/>
    <w:link w:val="658"/>
    <w:uiPriority w:val="9"/>
    <w:rPr>
      <w:rFonts w:ascii="Liberation Sans" w:hAnsi="Liberation Sans" w:cs="Liberation Sans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Liberation Sans" w:hAnsi="Liberation Sans" w:eastAsia="Liberation Sans" w:cs="Liberation Sans"/>
      <w:b/>
      <w:bCs/>
      <w:sz w:val="26"/>
      <w:szCs w:val="26"/>
    </w:rPr>
  </w:style>
  <w:style w:type="character" w:styleId="661">
    <w:name w:val="Heading 4 Char"/>
    <w:link w:val="660"/>
    <w:uiPriority w:val="9"/>
    <w:rPr>
      <w:rFonts w:ascii="Liberation Sans" w:hAnsi="Liberation Sans" w:eastAsia="Liberation Sans" w:cs="Liberation Sans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Liberation Sans" w:hAnsi="Liberation Sans" w:eastAsia="Liberation Sans" w:cs="Liberation Sans"/>
      <w:b/>
      <w:bCs/>
      <w:sz w:val="24"/>
      <w:szCs w:val="24"/>
    </w:rPr>
  </w:style>
  <w:style w:type="character" w:styleId="663">
    <w:name w:val="Heading 5 Char"/>
    <w:link w:val="662"/>
    <w:uiPriority w:val="9"/>
    <w:rPr>
      <w:rFonts w:ascii="Liberation Sans" w:hAnsi="Liberation Sans" w:eastAsia="Liberation Sans" w:cs="Liberation Sans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Liberation Sans" w:hAnsi="Liberation Sans" w:eastAsia="Liberation Sans" w:cs="Liberation Sans"/>
      <w:b/>
      <w:bCs/>
      <w:sz w:val="22"/>
      <w:szCs w:val="22"/>
    </w:rPr>
  </w:style>
  <w:style w:type="character" w:styleId="665">
    <w:name w:val="Heading 6 Char"/>
    <w:link w:val="664"/>
    <w:uiPriority w:val="9"/>
    <w:rPr>
      <w:rFonts w:ascii="Liberation Sans" w:hAnsi="Liberation Sans" w:eastAsia="Liberation Sans" w:cs="Liberation Sans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Liberation Sans" w:hAnsi="Liberation Sans" w:eastAsia="Liberation Sans" w:cs="Liberation Sans"/>
      <w:b/>
      <w:bCs/>
      <w:i/>
      <w:iCs/>
      <w:sz w:val="22"/>
      <w:szCs w:val="22"/>
    </w:rPr>
  </w:style>
  <w:style w:type="character" w:styleId="667">
    <w:name w:val="Heading 7 Char"/>
    <w:link w:val="666"/>
    <w:uiPriority w:val="9"/>
    <w:rPr>
      <w:rFonts w:ascii="Liberation Sans" w:hAnsi="Liberation Sans" w:eastAsia="Liberation Sans" w:cs="Liberation Sans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Liberation Sans" w:hAnsi="Liberation Sans" w:eastAsia="Liberation Sans" w:cs="Liberation Sans"/>
      <w:i/>
      <w:iCs/>
      <w:sz w:val="22"/>
      <w:szCs w:val="22"/>
    </w:rPr>
  </w:style>
  <w:style w:type="character" w:styleId="669">
    <w:name w:val="Heading 8 Char"/>
    <w:link w:val="668"/>
    <w:uiPriority w:val="9"/>
    <w:rPr>
      <w:rFonts w:ascii="Liberation Sans" w:hAnsi="Liberation Sans" w:eastAsia="Liberation Sans" w:cs="Liberation Sans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Liberation Sans" w:hAnsi="Liberation Sans" w:eastAsia="Liberation Sans" w:cs="Liberation Sans"/>
      <w:i/>
      <w:iCs/>
      <w:sz w:val="21"/>
      <w:szCs w:val="21"/>
    </w:rPr>
  </w:style>
  <w:style w:type="character" w:styleId="671">
    <w:name w:val="Heading 9 Char"/>
    <w:link w:val="670"/>
    <w:uiPriority w:val="9"/>
    <w:rPr>
      <w:rFonts w:ascii="Liberation Sans" w:hAnsi="Liberation Sans" w:eastAsia="Liberation Sans" w:cs="Liberation Sans"/>
    </w:rPr>
  </w:style>
  <w:style w:type="paragraph" w:styleId="672">
    <w:name w:val="Title"/>
    <w:basedOn w:val="830"/>
    <w:next w:val="830"/>
    <w:link w:val="67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3">
    <w:name w:val="Title Char"/>
    <w:link w:val="672"/>
    <w:uiPriority w:val="10"/>
    <w:rPr>
      <w:sz w:val="48"/>
      <w:szCs w:val="48"/>
    </w:rPr>
  </w:style>
  <w:style w:type="paragraph" w:styleId="674">
    <w:name w:val="Subtitle"/>
    <w:basedOn w:val="830"/>
    <w:next w:val="830"/>
    <w:link w:val="675"/>
    <w:uiPriority w:val="11"/>
    <w:qFormat/>
    <w:pPr>
      <w:spacing w:before="200" w:after="200"/>
    </w:pPr>
    <w:rPr>
      <w:sz w:val="24"/>
      <w:szCs w:val="24"/>
    </w:rPr>
  </w:style>
  <w:style w:type="character" w:styleId="675">
    <w:name w:val="Subtitle Char"/>
    <w:link w:val="674"/>
    <w:uiPriority w:val="11"/>
    <w:rPr>
      <w:sz w:val="24"/>
      <w:szCs w:val="24"/>
    </w:rPr>
  </w:style>
  <w:style w:type="paragraph" w:styleId="676">
    <w:name w:val="Quote"/>
    <w:basedOn w:val="830"/>
    <w:next w:val="830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30"/>
    <w:next w:val="830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30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link w:val="680"/>
    <w:uiPriority w:val="99"/>
  </w:style>
  <w:style w:type="paragraph" w:styleId="682">
    <w:name w:val="Footer"/>
    <w:basedOn w:val="830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link w:val="682"/>
    <w:uiPriority w:val="99"/>
  </w:style>
  <w:style w:type="paragraph" w:styleId="684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basedOn w:val="83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rPr>
      <w:rFonts w:ascii="Liberation Sans" w:hAnsi="Liberation Sans" w:eastAsia="Liberation Sans" w:cs="Liberation Sans"/>
      <w:sz w:val="20"/>
      <w:szCs w:val="20"/>
    </w:rPr>
  </w:style>
  <w:style w:type="table" w:styleId="83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2" w:default="1">
    <w:name w:val="No List"/>
    <w:uiPriority w:val="99"/>
    <w:semiHidden/>
    <w:unhideWhenUsed/>
  </w:style>
  <w:style w:type="paragraph" w:styleId="833">
    <w:name w:val="No Spacing"/>
    <w:basedOn w:val="830"/>
    <w:uiPriority w:val="1"/>
    <w:qFormat/>
    <w:pPr>
      <w:spacing w:after="0" w:line="240" w:lineRule="auto"/>
    </w:pPr>
  </w:style>
  <w:style w:type="paragraph" w:styleId="834">
    <w:name w:val="List Paragraph"/>
    <w:basedOn w:val="830"/>
    <w:uiPriority w:val="34"/>
    <w:qFormat/>
    <w:pPr>
      <w:contextualSpacing/>
      <w:ind w:left="720"/>
    </w:pPr>
  </w:style>
  <w:style w:type="character" w:styleId="835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павел лу</cp:lastModifiedBy>
  <cp:revision>2</cp:revision>
  <dcterms:modified xsi:type="dcterms:W3CDTF">2024-11-13T22:03:46Z</dcterms:modified>
</cp:coreProperties>
</file>